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51242" w14:textId="77777777" w:rsidR="00DC1B6B" w:rsidRDefault="00DC1B6B" w:rsidP="00DC1B6B">
      <w:pPr>
        <w:jc w:val="center"/>
      </w:pPr>
      <w:r>
        <w:rPr>
          <w:noProof/>
          <w:lang w:eastAsia="fr-FR"/>
        </w:rPr>
        <w:drawing>
          <wp:inline distT="0" distB="0" distL="0" distR="0" wp14:anchorId="31B8FB0C" wp14:editId="2083BC06">
            <wp:extent cx="1744980" cy="891708"/>
            <wp:effectExtent l="0" t="0" r="7620" b="3810"/>
            <wp:docPr id="2" name="Image 2" descr="Identite AMF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Identite AMF v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50774" cy="894669"/>
                    </a:xfrm>
                    <a:prstGeom prst="rect">
                      <a:avLst/>
                    </a:prstGeom>
                    <a:noFill/>
                    <a:ln>
                      <a:noFill/>
                    </a:ln>
                  </pic:spPr>
                </pic:pic>
              </a:graphicData>
            </a:graphic>
          </wp:inline>
        </w:drawing>
      </w:r>
    </w:p>
    <w:p w14:paraId="3E8A6590" w14:textId="77777777" w:rsidR="00DC1B6B" w:rsidRDefault="00DC1B6B" w:rsidP="00DC1B6B">
      <w:pPr>
        <w:jc w:val="center"/>
      </w:pPr>
    </w:p>
    <w:p w14:paraId="5E671B41" w14:textId="77777777" w:rsidR="00DC1B6B" w:rsidRPr="001B3BEE" w:rsidRDefault="00DC1B6B" w:rsidP="00DC1B6B">
      <w:pPr>
        <w:rPr>
          <w:rFonts w:ascii="Arial" w:hAnsi="Arial" w:cs="Arial"/>
          <w:b/>
          <w:color w:val="0070C0"/>
          <w:sz w:val="24"/>
          <w:szCs w:val="24"/>
        </w:rPr>
      </w:pPr>
      <w:r w:rsidRPr="001B3BEE">
        <w:rPr>
          <w:rFonts w:ascii="Arial" w:hAnsi="Arial" w:cs="Arial"/>
          <w:b/>
          <w:color w:val="0070C0"/>
          <w:sz w:val="24"/>
          <w:szCs w:val="24"/>
        </w:rPr>
        <w:t>Note de présentation relative à la désignation d’un référent déontologue pour les élus locaux</w:t>
      </w:r>
    </w:p>
    <w:p w14:paraId="348D7391" w14:textId="77777777" w:rsidR="00DC1B6B" w:rsidRDefault="00DC1B6B" w:rsidP="00DC1B6B">
      <w:pPr>
        <w:rPr>
          <w:rFonts w:ascii="Arial" w:hAnsi="Arial" w:cs="Arial"/>
          <w:b/>
          <w:sz w:val="24"/>
          <w:szCs w:val="24"/>
        </w:rPr>
      </w:pPr>
    </w:p>
    <w:p w14:paraId="31974B2F" w14:textId="77777777" w:rsidR="00AC5E28" w:rsidRDefault="00DC1B6B" w:rsidP="00DC1B6B">
      <w:pPr>
        <w:jc w:val="both"/>
        <w:rPr>
          <w:rFonts w:ascii="Arial" w:hAnsi="Arial" w:cs="Arial"/>
          <w:color w:val="000000"/>
        </w:rPr>
      </w:pPr>
      <w:r w:rsidRPr="00DC1B6B">
        <w:rPr>
          <w:rFonts w:ascii="Arial" w:hAnsi="Arial" w:cs="Arial"/>
          <w:color w:val="000000"/>
        </w:rPr>
        <w:t>L’article 218 de la loi n° 2022-217 du 21 février 2022 relative à la différenciation, la décentralisation, la déconcentration et portant diverses mesures de simplification, permet à tout élu local de pouvoir « consulter un référent déontologue chargé de lui apporter tout conseil utile au respect des principes déontologiques »</w:t>
      </w:r>
      <w:r w:rsidR="00AC5E28">
        <w:rPr>
          <w:rFonts w:ascii="Arial" w:hAnsi="Arial" w:cs="Arial"/>
          <w:color w:val="000000"/>
        </w:rPr>
        <w:t>.</w:t>
      </w:r>
    </w:p>
    <w:p w14:paraId="142C04D2" w14:textId="28FC939E" w:rsidR="00AC5E28" w:rsidRDefault="00022AD4" w:rsidP="00AC5E28">
      <w:pPr>
        <w:jc w:val="both"/>
        <w:rPr>
          <w:rFonts w:ascii="Arial" w:hAnsi="Arial" w:cs="Arial"/>
        </w:rPr>
      </w:pPr>
      <w:hyperlink r:id="rId7" w:history="1">
        <w:r w:rsidRPr="00022AD4">
          <w:rPr>
            <w:rStyle w:val="Lienhypertexte"/>
            <w:rFonts w:ascii="Arial" w:hAnsi="Arial" w:cs="Arial"/>
            <w:color w:val="auto"/>
            <w:u w:val="none"/>
          </w:rPr>
          <w:t>L’article L. 1111-14</w:t>
        </w:r>
        <w:r w:rsidR="00CC11F8">
          <w:rPr>
            <w:rStyle w:val="Lienhypertexte"/>
            <w:rFonts w:ascii="Arial" w:hAnsi="Arial" w:cs="Arial"/>
            <w:color w:val="auto"/>
            <w:u w:val="none"/>
          </w:rPr>
          <w:t xml:space="preserve"> </w:t>
        </w:r>
        <w:r w:rsidR="00AC5E28" w:rsidRPr="001B3BEE">
          <w:rPr>
            <w:rStyle w:val="Lienhypertexte"/>
            <w:rFonts w:ascii="Arial" w:hAnsi="Arial" w:cs="Arial"/>
            <w:color w:val="auto"/>
            <w:u w:val="none"/>
          </w:rPr>
          <w:t xml:space="preserve">du </w:t>
        </w:r>
        <w:r w:rsidR="000149D1">
          <w:rPr>
            <w:rStyle w:val="Lienhypertexte"/>
            <w:rFonts w:ascii="Arial" w:hAnsi="Arial" w:cs="Arial"/>
            <w:color w:val="auto"/>
            <w:u w:val="none"/>
          </w:rPr>
          <w:t>C</w:t>
        </w:r>
        <w:r w:rsidR="00AC5E28" w:rsidRPr="001B3BEE">
          <w:rPr>
            <w:rStyle w:val="Lienhypertexte"/>
            <w:rFonts w:ascii="Arial" w:hAnsi="Arial" w:cs="Arial"/>
            <w:color w:val="auto"/>
            <w:u w:val="none"/>
          </w:rPr>
          <w:t>ode général des collectivités territoriales</w:t>
        </w:r>
      </w:hyperlink>
      <w:r w:rsidR="00AC5E28" w:rsidRPr="001B3BEE">
        <w:rPr>
          <w:rFonts w:ascii="Arial" w:hAnsi="Arial" w:cs="Arial"/>
        </w:rPr>
        <w:t> </w:t>
      </w:r>
      <w:r w:rsidR="00725466">
        <w:rPr>
          <w:rFonts w:ascii="Arial" w:hAnsi="Arial" w:cs="Arial"/>
        </w:rPr>
        <w:t xml:space="preserve">(CGCT) </w:t>
      </w:r>
      <w:r w:rsidR="00AC5E28" w:rsidRPr="008B6F78">
        <w:rPr>
          <w:rFonts w:ascii="Arial" w:hAnsi="Arial" w:cs="Arial"/>
        </w:rPr>
        <w:t xml:space="preserve">qui traite de </w:t>
      </w:r>
      <w:r w:rsidR="00AC5E28">
        <w:rPr>
          <w:rFonts w:ascii="Arial" w:hAnsi="Arial" w:cs="Arial"/>
        </w:rPr>
        <w:t>la Charte de l’élu local a ainsi</w:t>
      </w:r>
      <w:r w:rsidR="00AC5E28" w:rsidRPr="008B6F78">
        <w:rPr>
          <w:rFonts w:ascii="Arial" w:hAnsi="Arial" w:cs="Arial"/>
        </w:rPr>
        <w:t xml:space="preserve"> été complété par « </w:t>
      </w:r>
      <w:r w:rsidR="00AC5E28" w:rsidRPr="00002561">
        <w:rPr>
          <w:rFonts w:ascii="Arial" w:hAnsi="Arial" w:cs="Arial"/>
          <w:i/>
        </w:rPr>
        <w:t xml:space="preserve">Tout élu local peut consulter un référent déontologue chargé de lui apporter tout conseil utile au respect des principes déontologiques </w:t>
      </w:r>
      <w:r w:rsidR="00D277D2" w:rsidRPr="00D277D2">
        <w:rPr>
          <w:rFonts w:ascii="Arial" w:hAnsi="Arial" w:cs="Arial"/>
          <w:i/>
        </w:rPr>
        <w:t>mentionnés à l'article L. 1111-13 du même code </w:t>
      </w:r>
      <w:r w:rsidR="00AC5E28">
        <w:rPr>
          <w:rFonts w:ascii="Arial" w:hAnsi="Arial" w:cs="Arial"/>
        </w:rPr>
        <w:t>»</w:t>
      </w:r>
      <w:r w:rsidR="00AC5E28" w:rsidRPr="008B6F78">
        <w:rPr>
          <w:rFonts w:ascii="Arial" w:hAnsi="Arial" w:cs="Arial"/>
        </w:rPr>
        <w:t>. </w:t>
      </w:r>
    </w:p>
    <w:p w14:paraId="77C1AF59" w14:textId="77777777" w:rsidR="000217DB" w:rsidRPr="000217DB" w:rsidRDefault="000217DB" w:rsidP="000217DB">
      <w:pPr>
        <w:rPr>
          <w:rFonts w:ascii="Arial" w:hAnsi="Arial" w:cs="Arial"/>
        </w:rPr>
      </w:pPr>
      <w:r w:rsidRPr="000217DB">
        <w:rPr>
          <w:rFonts w:ascii="Arial" w:hAnsi="Arial" w:cs="Arial"/>
          <w:bCs/>
        </w:rPr>
        <w:t>Il appartient ainsi à chaque collectivité concernée de nommer son ou ses référents par l’adoption d’une délibération spécifique</w:t>
      </w:r>
      <w:r w:rsidRPr="000217DB">
        <w:rPr>
          <w:rFonts w:ascii="Arial" w:hAnsi="Arial" w:cs="Arial"/>
        </w:rPr>
        <w:t>, dont le</w:t>
      </w:r>
      <w:r w:rsidR="00725466">
        <w:rPr>
          <w:rFonts w:ascii="Arial" w:hAnsi="Arial" w:cs="Arial"/>
        </w:rPr>
        <w:t xml:space="preserve"> contenu est encadré par le CGCT.</w:t>
      </w:r>
    </w:p>
    <w:p w14:paraId="5C70D8F9" w14:textId="77777777" w:rsidR="00DC1B6B" w:rsidRPr="00DC1B6B" w:rsidRDefault="00AC5E28" w:rsidP="00DC1B6B">
      <w:pPr>
        <w:jc w:val="both"/>
        <w:rPr>
          <w:rFonts w:ascii="Arial" w:hAnsi="Arial" w:cs="Arial"/>
          <w:color w:val="000000"/>
        </w:rPr>
      </w:pPr>
      <w:r>
        <w:rPr>
          <w:rFonts w:ascii="Arial" w:hAnsi="Arial" w:cs="Arial"/>
          <w:color w:val="000000"/>
        </w:rPr>
        <w:t>Depuis, le 1</w:t>
      </w:r>
      <w:r w:rsidRPr="00AC5E28">
        <w:rPr>
          <w:rFonts w:ascii="Arial" w:hAnsi="Arial" w:cs="Arial"/>
          <w:color w:val="000000"/>
          <w:vertAlign w:val="superscript"/>
        </w:rPr>
        <w:t>er</w:t>
      </w:r>
      <w:r>
        <w:rPr>
          <w:rFonts w:ascii="Arial" w:hAnsi="Arial" w:cs="Arial"/>
          <w:color w:val="000000"/>
        </w:rPr>
        <w:t xml:space="preserve"> juin 2023, l</w:t>
      </w:r>
      <w:r w:rsidR="00DC1B6B" w:rsidRPr="00DC1B6B">
        <w:rPr>
          <w:rFonts w:ascii="Arial" w:hAnsi="Arial" w:cs="Arial"/>
          <w:color w:val="000000"/>
        </w:rPr>
        <w:t xml:space="preserve">es collectivités </w:t>
      </w:r>
      <w:r>
        <w:rPr>
          <w:rFonts w:ascii="Arial" w:hAnsi="Arial" w:cs="Arial"/>
          <w:color w:val="000000"/>
        </w:rPr>
        <w:t xml:space="preserve">doivent </w:t>
      </w:r>
      <w:r w:rsidR="00DC1B6B" w:rsidRPr="00DC1B6B">
        <w:rPr>
          <w:rFonts w:ascii="Arial" w:hAnsi="Arial" w:cs="Arial"/>
          <w:color w:val="000000"/>
        </w:rPr>
        <w:t>désigner un référent déontologue pour les élus locaux.</w:t>
      </w:r>
    </w:p>
    <w:p w14:paraId="7040BB2B" w14:textId="77777777" w:rsidR="00DC1B6B" w:rsidRPr="00457B4D" w:rsidRDefault="00DC1B6B" w:rsidP="00DC1B6B">
      <w:pPr>
        <w:jc w:val="both"/>
        <w:rPr>
          <w:rFonts w:ascii="Arial" w:hAnsi="Arial" w:cs="Arial"/>
        </w:rPr>
      </w:pPr>
      <w:r w:rsidRPr="00457B4D">
        <w:rPr>
          <w:rFonts w:ascii="Arial" w:hAnsi="Arial" w:cs="Arial"/>
        </w:rPr>
        <w:t xml:space="preserve">Il est proposé </w:t>
      </w:r>
      <w:r w:rsidR="00AC5E28">
        <w:rPr>
          <w:rFonts w:ascii="Arial" w:hAnsi="Arial" w:cs="Arial"/>
        </w:rPr>
        <w:t xml:space="preserve">au Conseil municipal/communautaire de </w:t>
      </w:r>
      <w:r w:rsidRPr="00457B4D">
        <w:rPr>
          <w:rFonts w:ascii="Arial" w:hAnsi="Arial" w:cs="Arial"/>
        </w:rPr>
        <w:t>de désigner Mr/Mme XXXXX, pour exercer cette mission</w:t>
      </w:r>
      <w:r>
        <w:rPr>
          <w:rFonts w:ascii="Arial" w:hAnsi="Arial" w:cs="Arial"/>
        </w:rPr>
        <w:t>, pour une durée de XXXXX</w:t>
      </w:r>
      <w:r w:rsidRPr="00457B4D">
        <w:rPr>
          <w:rFonts w:ascii="Arial" w:hAnsi="Arial" w:cs="Arial"/>
        </w:rPr>
        <w:t>.</w:t>
      </w:r>
    </w:p>
    <w:p w14:paraId="7E596457" w14:textId="77777777" w:rsidR="00AC5E28" w:rsidRPr="008105CD" w:rsidRDefault="00AC5E28" w:rsidP="00AC5E28">
      <w:pPr>
        <w:jc w:val="both"/>
        <w:rPr>
          <w:rFonts w:ascii="Arial" w:hAnsi="Arial" w:cs="Arial"/>
        </w:rPr>
      </w:pPr>
      <w:r>
        <w:rPr>
          <w:rFonts w:ascii="Arial" w:hAnsi="Arial" w:cs="Arial"/>
        </w:rPr>
        <w:t>Présentation de Mr ou</w:t>
      </w:r>
      <w:r w:rsidRPr="008105CD">
        <w:rPr>
          <w:rFonts w:ascii="Arial" w:hAnsi="Arial" w:cs="Arial"/>
        </w:rPr>
        <w:t xml:space="preserve"> Mme</w:t>
      </w:r>
      <w:r>
        <w:rPr>
          <w:rFonts w:ascii="Arial" w:hAnsi="Arial" w:cs="Arial"/>
        </w:rPr>
        <w:t xml:space="preserve"> XXXX (expérience professionnelle, profil </w:t>
      </w:r>
      <w:proofErr w:type="spellStart"/>
      <w:r>
        <w:rPr>
          <w:rFonts w:ascii="Arial" w:hAnsi="Arial" w:cs="Arial"/>
        </w:rPr>
        <w:t>etc</w:t>
      </w:r>
      <w:proofErr w:type="spellEnd"/>
      <w:r>
        <w:rPr>
          <w:rFonts w:ascii="Arial" w:hAnsi="Arial" w:cs="Arial"/>
        </w:rPr>
        <w:t>).</w:t>
      </w:r>
    </w:p>
    <w:p w14:paraId="466B6A65" w14:textId="77777777" w:rsidR="00DC1B6B" w:rsidRPr="008105CD" w:rsidRDefault="00DC1B6B" w:rsidP="00DC1B6B">
      <w:pPr>
        <w:jc w:val="both"/>
        <w:rPr>
          <w:rFonts w:ascii="Arial" w:hAnsi="Arial" w:cs="Arial"/>
        </w:rPr>
      </w:pPr>
    </w:p>
    <w:p w14:paraId="21DD8A39" w14:textId="77777777" w:rsidR="00DC1B6B" w:rsidRPr="00457B4D" w:rsidRDefault="00DC1B6B" w:rsidP="00DC1B6B">
      <w:pPr>
        <w:jc w:val="both"/>
        <w:rPr>
          <w:rFonts w:ascii="Arial" w:hAnsi="Arial" w:cs="Arial"/>
        </w:rPr>
      </w:pPr>
      <w:r w:rsidRPr="00457B4D">
        <w:rPr>
          <w:rFonts w:ascii="Arial" w:hAnsi="Arial" w:cs="Arial"/>
        </w:rPr>
        <w:t>Le référent déontologue</w:t>
      </w:r>
      <w:r>
        <w:rPr>
          <w:rFonts w:ascii="Arial" w:hAnsi="Arial" w:cs="Arial"/>
        </w:rPr>
        <w:t xml:space="preserve"> peut</w:t>
      </w:r>
      <w:r w:rsidR="00AC5E28">
        <w:rPr>
          <w:rFonts w:ascii="Arial" w:hAnsi="Arial" w:cs="Arial"/>
        </w:rPr>
        <w:t xml:space="preserve"> être saisi par tout membre </w:t>
      </w:r>
      <w:r>
        <w:rPr>
          <w:rFonts w:ascii="Arial" w:hAnsi="Arial" w:cs="Arial"/>
        </w:rPr>
        <w:t>de l’assemblée délibérante de la c</w:t>
      </w:r>
      <w:r w:rsidR="00AC5E28">
        <w:rPr>
          <w:rFonts w:ascii="Arial" w:hAnsi="Arial" w:cs="Arial"/>
        </w:rPr>
        <w:t>ommune ou de l’intercommunalité.</w:t>
      </w:r>
    </w:p>
    <w:p w14:paraId="4B0C64E7" w14:textId="77777777" w:rsidR="00DC1B6B" w:rsidRDefault="00AC5E28" w:rsidP="00DC1B6B">
      <w:pPr>
        <w:jc w:val="both"/>
        <w:rPr>
          <w:rFonts w:ascii="Arial" w:hAnsi="Arial" w:cs="Arial"/>
        </w:rPr>
      </w:pPr>
      <w:r>
        <w:rPr>
          <w:rFonts w:ascii="Arial" w:hAnsi="Arial" w:cs="Arial"/>
        </w:rPr>
        <w:t xml:space="preserve">Conformément au décret n°2022-1520, il </w:t>
      </w:r>
      <w:r w:rsidR="00DC1B6B" w:rsidRPr="00457B4D">
        <w:rPr>
          <w:rFonts w:ascii="Arial" w:hAnsi="Arial" w:cs="Arial"/>
        </w:rPr>
        <w:t>doit exercer sa mission en toute indépendance et impartialité. A cet égard, il ne peut recevoir d’injonctions extérieures.</w:t>
      </w:r>
    </w:p>
    <w:p w14:paraId="3587D499" w14:textId="77777777" w:rsidR="000217DB" w:rsidRPr="00457B4D" w:rsidRDefault="000217DB" w:rsidP="00DC1B6B">
      <w:pPr>
        <w:jc w:val="both"/>
        <w:rPr>
          <w:rFonts w:ascii="Arial" w:hAnsi="Arial" w:cs="Arial"/>
        </w:rPr>
      </w:pPr>
      <w:r w:rsidRPr="000217DB">
        <w:rPr>
          <w:rFonts w:ascii="Arial" w:hAnsi="Arial" w:cs="Arial"/>
        </w:rPr>
        <w:t>Le réf</w:t>
      </w:r>
      <w:r w:rsidR="00AC5E28">
        <w:rPr>
          <w:rFonts w:ascii="Arial" w:hAnsi="Arial" w:cs="Arial"/>
        </w:rPr>
        <w:t>érent doit étudier</w:t>
      </w:r>
      <w:r w:rsidRPr="000217DB">
        <w:rPr>
          <w:rFonts w:ascii="Arial" w:hAnsi="Arial" w:cs="Arial"/>
        </w:rPr>
        <w:t xml:space="preserve"> les élé</w:t>
      </w:r>
      <w:r w:rsidR="00AC5E28">
        <w:rPr>
          <w:rFonts w:ascii="Arial" w:hAnsi="Arial" w:cs="Arial"/>
        </w:rPr>
        <w:t>ments transmis par l’élu, peut</w:t>
      </w:r>
      <w:r w:rsidRPr="000217DB">
        <w:rPr>
          <w:rFonts w:ascii="Arial" w:hAnsi="Arial" w:cs="Arial"/>
        </w:rPr>
        <w:t xml:space="preserve"> demander d</w:t>
      </w:r>
      <w:r w:rsidR="00AC5E28">
        <w:rPr>
          <w:rFonts w:ascii="Arial" w:hAnsi="Arial" w:cs="Arial"/>
        </w:rPr>
        <w:t>es informations complémentaires et</w:t>
      </w:r>
      <w:r w:rsidRPr="000217DB">
        <w:rPr>
          <w:rFonts w:ascii="Arial" w:hAnsi="Arial" w:cs="Arial"/>
        </w:rPr>
        <w:t xml:space="preserve"> s’entretenir avec l’élu afin de préparer son conseil.</w:t>
      </w:r>
    </w:p>
    <w:p w14:paraId="36F3D3E4" w14:textId="77777777" w:rsidR="00DC1B6B" w:rsidRDefault="00DC1B6B" w:rsidP="00DC1B6B">
      <w:pPr>
        <w:jc w:val="both"/>
        <w:rPr>
          <w:rFonts w:ascii="Arial" w:hAnsi="Arial" w:cs="Arial"/>
        </w:rPr>
      </w:pPr>
      <w:r w:rsidRPr="00457B4D">
        <w:rPr>
          <w:rFonts w:ascii="Arial" w:hAnsi="Arial" w:cs="Arial"/>
        </w:rPr>
        <w:t>Le référent communiquera l’avis à l’élu concerné dans un délai raisonnable et proportionné à la complexité de la demande.</w:t>
      </w:r>
    </w:p>
    <w:p w14:paraId="4314914B" w14:textId="77777777" w:rsidR="00DC1B6B" w:rsidRPr="00457B4D" w:rsidRDefault="00725466" w:rsidP="00DC1B6B">
      <w:pPr>
        <w:jc w:val="both"/>
        <w:rPr>
          <w:rFonts w:ascii="Arial" w:hAnsi="Arial" w:cs="Arial"/>
        </w:rPr>
      </w:pPr>
      <w:r>
        <w:rPr>
          <w:rFonts w:ascii="Arial" w:hAnsi="Arial" w:cs="Arial"/>
        </w:rPr>
        <w:t>Il</w:t>
      </w:r>
      <w:r w:rsidR="00DC1B6B" w:rsidRPr="00457B4D">
        <w:rPr>
          <w:rFonts w:ascii="Arial" w:hAnsi="Arial" w:cs="Arial"/>
        </w:rPr>
        <w:t xml:space="preserve"> </w:t>
      </w:r>
      <w:r>
        <w:rPr>
          <w:rFonts w:ascii="Arial" w:hAnsi="Arial" w:cs="Arial"/>
        </w:rPr>
        <w:t xml:space="preserve">ou elle </w:t>
      </w:r>
      <w:r w:rsidR="00DC1B6B" w:rsidRPr="00457B4D">
        <w:rPr>
          <w:rFonts w:ascii="Arial" w:hAnsi="Arial" w:cs="Arial"/>
        </w:rPr>
        <w:t xml:space="preserve">sera </w:t>
      </w:r>
      <w:proofErr w:type="gramStart"/>
      <w:r w:rsidR="00DC1B6B" w:rsidRPr="00457B4D">
        <w:rPr>
          <w:rFonts w:ascii="Arial" w:hAnsi="Arial" w:cs="Arial"/>
        </w:rPr>
        <w:t>rémunéré</w:t>
      </w:r>
      <w:proofErr w:type="gramEnd"/>
      <w:r>
        <w:rPr>
          <w:rFonts w:ascii="Arial" w:hAnsi="Arial" w:cs="Arial"/>
        </w:rPr>
        <w:t>(e)</w:t>
      </w:r>
      <w:r w:rsidR="00DC1B6B" w:rsidRPr="00457B4D">
        <w:rPr>
          <w:rFonts w:ascii="Arial" w:hAnsi="Arial" w:cs="Arial"/>
        </w:rPr>
        <w:t xml:space="preserve"> par une indemnité de vacation d’un montant de 80 euros par dossie</w:t>
      </w:r>
      <w:r w:rsidR="00DC1B6B">
        <w:rPr>
          <w:rFonts w:ascii="Arial" w:hAnsi="Arial" w:cs="Arial"/>
        </w:rPr>
        <w:t xml:space="preserve">r, conformément à l’arrêté du 6 </w:t>
      </w:r>
      <w:r w:rsidR="00DC1B6B" w:rsidRPr="00457B4D">
        <w:rPr>
          <w:rFonts w:ascii="Arial" w:hAnsi="Arial" w:cs="Arial"/>
        </w:rPr>
        <w:t>décembre visé. Cette indem</w:t>
      </w:r>
      <w:r w:rsidR="00AC5E28">
        <w:rPr>
          <w:rFonts w:ascii="Arial" w:hAnsi="Arial" w:cs="Arial"/>
        </w:rPr>
        <w:t>nité sera versée par la commune directement au référent déontologue.</w:t>
      </w:r>
    </w:p>
    <w:p w14:paraId="0716BE52" w14:textId="77777777" w:rsidR="00DC1B6B" w:rsidRDefault="00DC1B6B" w:rsidP="00DC1B6B">
      <w:pPr>
        <w:jc w:val="both"/>
        <w:rPr>
          <w:rFonts w:ascii="Arial" w:hAnsi="Arial" w:cs="Arial"/>
        </w:rPr>
      </w:pPr>
    </w:p>
    <w:p w14:paraId="0E8FFBA0" w14:textId="77777777" w:rsidR="000217DB" w:rsidRPr="000217DB" w:rsidRDefault="000217DB" w:rsidP="000217DB">
      <w:pPr>
        <w:jc w:val="both"/>
        <w:rPr>
          <w:rFonts w:ascii="Arial" w:hAnsi="Arial" w:cs="Arial"/>
          <w:b/>
          <w:bCs/>
        </w:rPr>
      </w:pPr>
      <w:r w:rsidRPr="001B3BEE">
        <w:rPr>
          <w:rFonts w:ascii="Arial" w:hAnsi="Arial" w:cs="Arial"/>
          <w:b/>
        </w:rPr>
        <w:t>NB </w:t>
      </w:r>
      <w:r w:rsidRPr="000217DB">
        <w:rPr>
          <w:rFonts w:ascii="Arial" w:hAnsi="Arial" w:cs="Arial"/>
        </w:rPr>
        <w:t xml:space="preserve">: </w:t>
      </w:r>
      <w:r w:rsidRPr="000217DB">
        <w:rPr>
          <w:rFonts w:ascii="Arial" w:hAnsi="Arial" w:cs="Arial"/>
          <w:b/>
          <w:bCs/>
        </w:rPr>
        <w:t xml:space="preserve">Il existe une </w:t>
      </w:r>
      <w:bookmarkStart w:id="0" w:name="_Toc130899613"/>
      <w:r w:rsidRPr="000217DB">
        <w:rPr>
          <w:rFonts w:ascii="Arial" w:hAnsi="Arial" w:cs="Arial"/>
          <w:b/>
          <w:bCs/>
        </w:rPr>
        <w:t>possibilité de mutualiser un référent déontologue entre plusieurs collectivités</w:t>
      </w:r>
      <w:bookmarkEnd w:id="0"/>
      <w:r w:rsidRPr="000217DB">
        <w:rPr>
          <w:rFonts w:ascii="Arial" w:hAnsi="Arial" w:cs="Arial"/>
          <w:b/>
          <w:bCs/>
        </w:rPr>
        <w:t xml:space="preserve"> </w:t>
      </w:r>
    </w:p>
    <w:p w14:paraId="44B4E691" w14:textId="77777777" w:rsidR="000217DB" w:rsidRPr="000217DB" w:rsidRDefault="000217DB" w:rsidP="000217DB">
      <w:pPr>
        <w:jc w:val="both"/>
        <w:rPr>
          <w:rFonts w:ascii="Arial" w:hAnsi="Arial" w:cs="Arial"/>
          <w:b/>
          <w:bCs/>
        </w:rPr>
      </w:pPr>
    </w:p>
    <w:p w14:paraId="6AFE206A" w14:textId="77777777" w:rsidR="000217DB" w:rsidRPr="000217DB" w:rsidRDefault="000217DB" w:rsidP="000217DB">
      <w:pPr>
        <w:jc w:val="both"/>
        <w:rPr>
          <w:rFonts w:ascii="Arial" w:hAnsi="Arial" w:cs="Arial"/>
        </w:rPr>
      </w:pPr>
      <w:r w:rsidRPr="000217DB">
        <w:rPr>
          <w:rFonts w:ascii="Arial" w:hAnsi="Arial" w:cs="Arial"/>
        </w:rPr>
        <w:lastRenderedPageBreak/>
        <w:t xml:space="preserve">L’article </w:t>
      </w:r>
      <w:hyperlink r:id="rId8" w:history="1">
        <w:r w:rsidRPr="000217DB">
          <w:rPr>
            <w:rStyle w:val="Lienhypertexte"/>
            <w:rFonts w:ascii="Arial" w:hAnsi="Arial" w:cs="Arial"/>
            <w:color w:val="auto"/>
            <w:u w:val="none"/>
          </w:rPr>
          <w:t>R. 1111-1-A</w:t>
        </w:r>
      </w:hyperlink>
      <w:r w:rsidRPr="000217DB">
        <w:rPr>
          <w:rFonts w:ascii="Arial" w:hAnsi="Arial" w:cs="Arial"/>
        </w:rPr>
        <w:t xml:space="preserve"> du CGCT autorise plusieurs collectivités, groupements de collectivités ou syndicats mixtes à désigner le ou les mêmes référents déontologues pour leurs élus. </w:t>
      </w:r>
    </w:p>
    <w:p w14:paraId="322E773F" w14:textId="77777777" w:rsidR="000217DB" w:rsidRPr="000217DB" w:rsidRDefault="000217DB" w:rsidP="000217DB">
      <w:pPr>
        <w:jc w:val="both"/>
        <w:rPr>
          <w:rFonts w:ascii="Arial" w:hAnsi="Arial" w:cs="Arial"/>
        </w:rPr>
      </w:pPr>
      <w:r w:rsidRPr="000217DB">
        <w:rPr>
          <w:rFonts w:ascii="Arial" w:hAnsi="Arial" w:cs="Arial"/>
        </w:rPr>
        <w:t>Cette disposition vise à faciliter la désignation du référent déontologue de l’élu local, en particulier pour les petites collectivités qui ne disposeraient pas des ressources suffisantes pour répondre aux besoins de leurs élus.</w:t>
      </w:r>
    </w:p>
    <w:p w14:paraId="3BA185BA" w14:textId="77777777" w:rsidR="000217DB" w:rsidRPr="000217DB" w:rsidRDefault="000217DB" w:rsidP="000217DB">
      <w:pPr>
        <w:jc w:val="both"/>
        <w:rPr>
          <w:rFonts w:ascii="Arial" w:hAnsi="Arial" w:cs="Arial"/>
        </w:rPr>
      </w:pPr>
      <w:r w:rsidRPr="000217DB">
        <w:rPr>
          <w:rFonts w:ascii="Arial" w:hAnsi="Arial" w:cs="Arial"/>
        </w:rPr>
        <w:t xml:space="preserve">Les collectivités bénéficient ainsi de la faculté, quels que soient leur nature, leur taille ou leur emplacement géographique, de mutualiser leurs moyens pour assurer l’exercice de la fonction de référent déontologue. </w:t>
      </w:r>
    </w:p>
    <w:p w14:paraId="3E94023E" w14:textId="77777777" w:rsidR="000217DB" w:rsidRPr="000217DB" w:rsidRDefault="000217DB" w:rsidP="000217DB">
      <w:pPr>
        <w:jc w:val="both"/>
        <w:rPr>
          <w:rFonts w:ascii="Arial" w:hAnsi="Arial" w:cs="Arial"/>
        </w:rPr>
      </w:pPr>
      <w:r w:rsidRPr="000217DB">
        <w:rPr>
          <w:rFonts w:ascii="Arial" w:hAnsi="Arial" w:cs="Arial"/>
        </w:rPr>
        <w:t xml:space="preserve">Par exemple : </w:t>
      </w:r>
      <w:r w:rsidR="001B3BEE">
        <w:rPr>
          <w:rFonts w:ascii="Arial" w:hAnsi="Arial" w:cs="Arial"/>
        </w:rPr>
        <w:t>une commune et une communauté d’agglomération peuvent désigner un référent commun pour leurs élus.</w:t>
      </w:r>
    </w:p>
    <w:p w14:paraId="4F26DDEA" w14:textId="67C634DA" w:rsidR="000217DB" w:rsidRPr="000217DB" w:rsidRDefault="000217DB" w:rsidP="000217DB">
      <w:pPr>
        <w:jc w:val="both"/>
        <w:rPr>
          <w:rFonts w:ascii="Arial" w:hAnsi="Arial" w:cs="Arial"/>
          <w:b/>
          <w:bCs/>
        </w:rPr>
      </w:pPr>
      <w:r w:rsidRPr="000217DB">
        <w:rPr>
          <w:rFonts w:ascii="Arial" w:hAnsi="Arial" w:cs="Arial"/>
          <w:b/>
          <w:bCs/>
        </w:rPr>
        <w:t xml:space="preserve">Dans l’hypothèse d’une mutualisation, l’article </w:t>
      </w:r>
      <w:hyperlink r:id="rId9" w:history="1">
        <w:r w:rsidRPr="000217DB">
          <w:rPr>
            <w:rStyle w:val="Lienhypertexte"/>
            <w:rFonts w:ascii="Arial" w:hAnsi="Arial" w:cs="Arial"/>
            <w:b/>
            <w:bCs/>
            <w:color w:val="auto"/>
            <w:u w:val="none"/>
          </w:rPr>
          <w:t>R. 111</w:t>
        </w:r>
        <w:r w:rsidR="00890D8C">
          <w:rPr>
            <w:rStyle w:val="Lienhypertexte"/>
            <w:rFonts w:ascii="Arial" w:hAnsi="Arial" w:cs="Arial"/>
            <w:b/>
            <w:bCs/>
            <w:color w:val="auto"/>
            <w:u w:val="none"/>
          </w:rPr>
          <w:t>1</w:t>
        </w:r>
        <w:r w:rsidRPr="000217DB">
          <w:rPr>
            <w:rStyle w:val="Lienhypertexte"/>
            <w:rFonts w:ascii="Arial" w:hAnsi="Arial" w:cs="Arial"/>
            <w:b/>
            <w:bCs/>
            <w:color w:val="auto"/>
            <w:u w:val="none"/>
          </w:rPr>
          <w:noBreakHyphen/>
          <w:t>1-A</w:t>
        </w:r>
      </w:hyperlink>
      <w:r w:rsidRPr="000217DB">
        <w:rPr>
          <w:rFonts w:ascii="Arial" w:hAnsi="Arial" w:cs="Arial"/>
          <w:b/>
          <w:bCs/>
        </w:rPr>
        <w:t xml:space="preserve"> du CGCT exige l’adoption de délibérations concordantes par chacune des collectivités intéressées. </w:t>
      </w:r>
    </w:p>
    <w:p w14:paraId="211C283C" w14:textId="77777777" w:rsidR="00DC1B6B" w:rsidRPr="00DC1B6B" w:rsidRDefault="00DC1B6B" w:rsidP="00DC1B6B"/>
    <w:p w14:paraId="5040518C" w14:textId="77777777" w:rsidR="00DC1B6B" w:rsidRPr="001B3BEE" w:rsidRDefault="00DC1B6B" w:rsidP="00DC1B6B">
      <w:pPr>
        <w:rPr>
          <w:rFonts w:ascii="Arial" w:hAnsi="Arial" w:cs="Arial"/>
          <w:b/>
          <w:color w:val="0070C0"/>
          <w:sz w:val="24"/>
          <w:szCs w:val="24"/>
        </w:rPr>
      </w:pPr>
      <w:r w:rsidRPr="001B3BEE">
        <w:rPr>
          <w:rFonts w:ascii="Arial" w:hAnsi="Arial" w:cs="Arial"/>
          <w:b/>
          <w:color w:val="0070C0"/>
          <w:sz w:val="24"/>
          <w:szCs w:val="24"/>
        </w:rPr>
        <w:t>Modèle de délibération relative à la désignation d’un référent déontologue pour les élus locaux</w:t>
      </w:r>
    </w:p>
    <w:p w14:paraId="4E855A33" w14:textId="77777777" w:rsidR="00DC1B6B" w:rsidRDefault="00DC1B6B" w:rsidP="00DC1B6B"/>
    <w:p w14:paraId="6CE23768" w14:textId="32F6A2C8" w:rsidR="00DC1B6B" w:rsidRPr="00457B4D" w:rsidRDefault="00627DB5" w:rsidP="00DC1B6B">
      <w:pPr>
        <w:jc w:val="both"/>
        <w:rPr>
          <w:rFonts w:ascii="Arial" w:hAnsi="Arial" w:cs="Arial"/>
        </w:rPr>
      </w:pPr>
      <w:r w:rsidRPr="00627DB5">
        <w:rPr>
          <w:rFonts w:ascii="Arial" w:hAnsi="Arial" w:cs="Arial"/>
        </w:rPr>
        <w:t>VU le Code Général des Collectivités Territoriales et notamment ses articles L.1111-12 à L.1111-14, ainsi que les articles R.1111-1- A et suivants</w:t>
      </w:r>
      <w:r w:rsidR="00DC1B6B" w:rsidRPr="00457B4D">
        <w:rPr>
          <w:rFonts w:ascii="Arial" w:hAnsi="Arial" w:cs="Arial"/>
        </w:rPr>
        <w:t xml:space="preserve">, </w:t>
      </w:r>
    </w:p>
    <w:p w14:paraId="3D748BAA" w14:textId="77777777" w:rsidR="00DC1B6B" w:rsidRPr="00457B4D" w:rsidRDefault="00DC1B6B" w:rsidP="00DC1B6B">
      <w:pPr>
        <w:jc w:val="both"/>
        <w:rPr>
          <w:rFonts w:ascii="Arial" w:hAnsi="Arial" w:cs="Arial"/>
        </w:rPr>
      </w:pPr>
      <w:r w:rsidRPr="00457B4D">
        <w:rPr>
          <w:rFonts w:ascii="Arial" w:hAnsi="Arial" w:cs="Arial"/>
        </w:rPr>
        <w:t>Vu l</w:t>
      </w:r>
      <w:r w:rsidR="00AC5E28">
        <w:rPr>
          <w:rFonts w:ascii="Arial" w:hAnsi="Arial" w:cs="Arial"/>
        </w:rPr>
        <w:t>’article 218 de l</w:t>
      </w:r>
      <w:r w:rsidRPr="00457B4D">
        <w:rPr>
          <w:rFonts w:ascii="Arial" w:hAnsi="Arial" w:cs="Arial"/>
        </w:rPr>
        <w:t>a loi n° 2022-217 du 21 février 2022 relative à la différenciation, la décentralisation, la déconcentration et portant diverses mesures de simplificati</w:t>
      </w:r>
      <w:r w:rsidR="00AC5E28">
        <w:rPr>
          <w:rFonts w:ascii="Arial" w:hAnsi="Arial" w:cs="Arial"/>
        </w:rPr>
        <w:t xml:space="preserve">on de l’action publique locale, </w:t>
      </w:r>
    </w:p>
    <w:p w14:paraId="3B1ECE67" w14:textId="77777777" w:rsidR="00DC1B6B" w:rsidRPr="00457B4D" w:rsidRDefault="00DC1B6B" w:rsidP="00DC1B6B">
      <w:pPr>
        <w:jc w:val="both"/>
        <w:rPr>
          <w:rFonts w:ascii="Arial" w:hAnsi="Arial" w:cs="Arial"/>
        </w:rPr>
      </w:pPr>
      <w:r w:rsidRPr="00457B4D">
        <w:rPr>
          <w:rFonts w:ascii="Arial" w:hAnsi="Arial" w:cs="Arial"/>
        </w:rPr>
        <w:t xml:space="preserve">VU le décret n° 2022-1520 du 6 décembre 2022 relatif au référent déontologue de l’élu local et notamment son article 1er dont les dispositions entrent en vigueur le 1er juin 2023, </w:t>
      </w:r>
    </w:p>
    <w:p w14:paraId="27E1107F" w14:textId="77777777" w:rsidR="00DC1B6B" w:rsidRPr="00457B4D" w:rsidRDefault="00DC1B6B" w:rsidP="00DC1B6B">
      <w:pPr>
        <w:jc w:val="both"/>
        <w:rPr>
          <w:rFonts w:ascii="Arial" w:hAnsi="Arial" w:cs="Arial"/>
        </w:rPr>
      </w:pPr>
      <w:r w:rsidRPr="00457B4D">
        <w:rPr>
          <w:rFonts w:ascii="Arial" w:hAnsi="Arial" w:cs="Arial"/>
        </w:rPr>
        <w:t>VU l’arrêté du 6 décembre 2022 pris en application du décret n° 2022-1520 du 6 décembre 2022 relatif au référent déontologue de l’élu local,</w:t>
      </w:r>
    </w:p>
    <w:p w14:paraId="0C5E3633" w14:textId="77777777" w:rsidR="00FF39BC" w:rsidRPr="00FF39BC" w:rsidRDefault="00FF39BC" w:rsidP="00FF39BC">
      <w:pPr>
        <w:rPr>
          <w:rFonts w:ascii="Arial" w:hAnsi="Arial" w:cs="Arial"/>
        </w:rPr>
      </w:pPr>
      <w:r w:rsidRPr="00FF39BC">
        <w:rPr>
          <w:rFonts w:ascii="Arial" w:hAnsi="Arial" w:cs="Arial"/>
        </w:rPr>
        <w:t>VU l’article 9 de la loi n°2025-1249 du 22 décembre 2025 portant création d’un statut de l’élu local</w:t>
      </w:r>
    </w:p>
    <w:p w14:paraId="0042B221" w14:textId="77777777" w:rsidR="00DC1B6B" w:rsidRPr="00457B4D" w:rsidRDefault="00DC1B6B" w:rsidP="00DC1B6B">
      <w:pPr>
        <w:rPr>
          <w:rFonts w:ascii="Arial" w:hAnsi="Arial" w:cs="Arial"/>
        </w:rPr>
      </w:pPr>
    </w:p>
    <w:p w14:paraId="19B8553C" w14:textId="77777777" w:rsidR="00DC1B6B" w:rsidRDefault="00DC1B6B" w:rsidP="00DC1B6B">
      <w:pPr>
        <w:jc w:val="both"/>
        <w:rPr>
          <w:rFonts w:ascii="Arial" w:hAnsi="Arial" w:cs="Arial"/>
        </w:rPr>
      </w:pPr>
      <w:r w:rsidRPr="00457B4D">
        <w:rPr>
          <w:rFonts w:ascii="Arial" w:hAnsi="Arial" w:cs="Arial"/>
          <w:b/>
        </w:rPr>
        <w:t>Article 1</w:t>
      </w:r>
      <w:r>
        <w:rPr>
          <w:rFonts w:ascii="Arial" w:hAnsi="Arial" w:cs="Arial"/>
        </w:rPr>
        <w:t xml:space="preserve"> : </w:t>
      </w:r>
      <w:r w:rsidR="000217DB" w:rsidRPr="000217DB">
        <w:rPr>
          <w:rFonts w:ascii="Arial" w:hAnsi="Arial" w:cs="Arial"/>
          <w:b/>
        </w:rPr>
        <w:t>Désignation</w:t>
      </w:r>
      <w:r w:rsidR="000217DB">
        <w:rPr>
          <w:rFonts w:ascii="Arial" w:hAnsi="Arial" w:cs="Arial"/>
          <w:b/>
        </w:rPr>
        <w:t xml:space="preserve"> du référent déontologue </w:t>
      </w:r>
    </w:p>
    <w:p w14:paraId="4FAAAFF2" w14:textId="48B9F66A" w:rsidR="00DC1B6B" w:rsidRDefault="00DC1B6B" w:rsidP="00DC1B6B">
      <w:pPr>
        <w:jc w:val="both"/>
        <w:rPr>
          <w:rFonts w:ascii="Arial" w:hAnsi="Arial" w:cs="Arial"/>
        </w:rPr>
      </w:pPr>
      <w:r>
        <w:rPr>
          <w:rFonts w:ascii="Arial" w:hAnsi="Arial" w:cs="Arial"/>
        </w:rPr>
        <w:t>Monsieur (</w:t>
      </w:r>
      <w:r w:rsidR="004A2182">
        <w:rPr>
          <w:rFonts w:ascii="Arial" w:hAnsi="Arial" w:cs="Arial"/>
        </w:rPr>
        <w:t>Madame) XXX</w:t>
      </w:r>
      <w:r>
        <w:rPr>
          <w:rFonts w:ascii="Arial" w:hAnsi="Arial" w:cs="Arial"/>
        </w:rPr>
        <w:t xml:space="preserve"> est désigné en tant que référent déontologue pour les </w:t>
      </w:r>
      <w:r w:rsidR="00AC5E28">
        <w:rPr>
          <w:rFonts w:ascii="Arial" w:hAnsi="Arial" w:cs="Arial"/>
        </w:rPr>
        <w:t>membres du Conseil Municipal.</w:t>
      </w:r>
    </w:p>
    <w:p w14:paraId="622CB441" w14:textId="77777777" w:rsidR="00AC5E28" w:rsidRDefault="00AC5E28" w:rsidP="00DC1B6B">
      <w:pPr>
        <w:jc w:val="both"/>
        <w:rPr>
          <w:rFonts w:ascii="Arial" w:hAnsi="Arial" w:cs="Arial"/>
        </w:rPr>
      </w:pPr>
    </w:p>
    <w:p w14:paraId="680C0FC1" w14:textId="77777777" w:rsidR="00DC1B6B" w:rsidRPr="00457B4D" w:rsidRDefault="00DC1B6B" w:rsidP="00DC1B6B">
      <w:pPr>
        <w:jc w:val="both"/>
        <w:rPr>
          <w:rFonts w:ascii="Arial" w:hAnsi="Arial" w:cs="Arial"/>
          <w:b/>
        </w:rPr>
      </w:pPr>
      <w:r w:rsidRPr="00457B4D">
        <w:rPr>
          <w:rFonts w:ascii="Arial" w:hAnsi="Arial" w:cs="Arial"/>
          <w:b/>
        </w:rPr>
        <w:t>Article 2</w:t>
      </w:r>
      <w:r w:rsidR="000217DB">
        <w:rPr>
          <w:rFonts w:ascii="Arial" w:hAnsi="Arial" w:cs="Arial"/>
          <w:b/>
        </w:rPr>
        <w:t xml:space="preserve"> : </w:t>
      </w:r>
      <w:r w:rsidRPr="00457B4D">
        <w:rPr>
          <w:rFonts w:ascii="Arial" w:hAnsi="Arial" w:cs="Arial"/>
          <w:b/>
        </w:rPr>
        <w:t xml:space="preserve"> Modalités de saisine</w:t>
      </w:r>
      <w:r>
        <w:rPr>
          <w:rFonts w:ascii="Arial" w:hAnsi="Arial" w:cs="Arial"/>
          <w:b/>
        </w:rPr>
        <w:t xml:space="preserve"> du référent</w:t>
      </w:r>
      <w:r w:rsidR="000217DB">
        <w:rPr>
          <w:rFonts w:ascii="Arial" w:hAnsi="Arial" w:cs="Arial"/>
          <w:b/>
        </w:rPr>
        <w:t xml:space="preserve"> déontologue </w:t>
      </w:r>
    </w:p>
    <w:p w14:paraId="31C55FC4" w14:textId="77777777" w:rsidR="00DC1B6B" w:rsidRPr="00457B4D" w:rsidRDefault="00DC1B6B" w:rsidP="00DC1B6B">
      <w:pPr>
        <w:jc w:val="both"/>
        <w:rPr>
          <w:rFonts w:ascii="Arial" w:hAnsi="Arial" w:cs="Arial"/>
        </w:rPr>
      </w:pPr>
      <w:r w:rsidRPr="00457B4D">
        <w:rPr>
          <w:rFonts w:ascii="Arial" w:hAnsi="Arial" w:cs="Arial"/>
        </w:rPr>
        <w:t xml:space="preserve">Le référent déontologue pourra être saisi par voie écrite, par mail (dédier une adresse </w:t>
      </w:r>
      <w:proofErr w:type="gramStart"/>
      <w:r w:rsidRPr="00457B4D">
        <w:rPr>
          <w:rFonts w:ascii="Arial" w:hAnsi="Arial" w:cs="Arial"/>
        </w:rPr>
        <w:t>mail</w:t>
      </w:r>
      <w:proofErr w:type="gramEnd"/>
      <w:r w:rsidRPr="00457B4D">
        <w:rPr>
          <w:rFonts w:ascii="Arial" w:hAnsi="Arial" w:cs="Arial"/>
        </w:rPr>
        <w:t xml:space="preserve"> spécifique) ou par courrier à l’adresse suivante…. (Adresse en mairie)</w:t>
      </w:r>
    </w:p>
    <w:p w14:paraId="7BF7B751" w14:textId="77777777" w:rsidR="00DC1B6B" w:rsidRPr="00457B4D" w:rsidRDefault="00AC5E28" w:rsidP="00DC1B6B">
      <w:pPr>
        <w:jc w:val="both"/>
        <w:rPr>
          <w:rFonts w:ascii="Arial" w:hAnsi="Arial" w:cs="Arial"/>
        </w:rPr>
      </w:pPr>
      <w:r>
        <w:rPr>
          <w:rFonts w:ascii="Arial" w:hAnsi="Arial" w:cs="Arial"/>
        </w:rPr>
        <w:t xml:space="preserve">En cas de saisines par courrier, elles </w:t>
      </w:r>
      <w:r w:rsidR="00DC1B6B" w:rsidRPr="00457B4D">
        <w:rPr>
          <w:rFonts w:ascii="Arial" w:hAnsi="Arial" w:cs="Arial"/>
        </w:rPr>
        <w:t>devront être cachetées et porter la mention « confidentiel ».</w:t>
      </w:r>
    </w:p>
    <w:p w14:paraId="6940ABD0" w14:textId="77777777" w:rsidR="00DC1B6B" w:rsidRDefault="00DC1B6B" w:rsidP="00DC1B6B">
      <w:pPr>
        <w:jc w:val="both"/>
        <w:rPr>
          <w:rFonts w:ascii="Arial" w:hAnsi="Arial" w:cs="Arial"/>
        </w:rPr>
      </w:pPr>
      <w:r w:rsidRPr="00457B4D">
        <w:rPr>
          <w:rFonts w:ascii="Arial" w:hAnsi="Arial" w:cs="Arial"/>
        </w:rPr>
        <w:t>Toute demande fera l’objet d’un accusé de réception par le référent déontologue qui mentionnera la date de réception et rappellera le cadre réglementaire de la réponse.</w:t>
      </w:r>
    </w:p>
    <w:p w14:paraId="710C4179" w14:textId="77777777" w:rsidR="00DC1B6B" w:rsidRPr="00457B4D" w:rsidRDefault="00DC1B6B" w:rsidP="00DC1B6B">
      <w:pPr>
        <w:jc w:val="both"/>
        <w:rPr>
          <w:rFonts w:ascii="Arial" w:hAnsi="Arial" w:cs="Arial"/>
        </w:rPr>
      </w:pPr>
    </w:p>
    <w:p w14:paraId="7E38A2E8" w14:textId="77777777" w:rsidR="00DC1B6B" w:rsidRDefault="00DC1B6B" w:rsidP="00DC1B6B">
      <w:pPr>
        <w:jc w:val="both"/>
        <w:rPr>
          <w:rFonts w:ascii="Arial" w:hAnsi="Arial" w:cs="Arial"/>
          <w:b/>
        </w:rPr>
      </w:pPr>
      <w:r w:rsidRPr="00457B4D">
        <w:rPr>
          <w:rFonts w:ascii="Arial" w:hAnsi="Arial" w:cs="Arial"/>
          <w:b/>
        </w:rPr>
        <w:t>Articl</w:t>
      </w:r>
      <w:r w:rsidR="000217DB">
        <w:rPr>
          <w:rFonts w:ascii="Arial" w:hAnsi="Arial" w:cs="Arial"/>
          <w:b/>
        </w:rPr>
        <w:t>e 3 : Rémunération </w:t>
      </w:r>
    </w:p>
    <w:p w14:paraId="5DCEAA78" w14:textId="79AD0510" w:rsidR="000217DB" w:rsidRDefault="000217DB" w:rsidP="000217DB">
      <w:pPr>
        <w:jc w:val="both"/>
        <w:rPr>
          <w:rFonts w:ascii="Arial" w:hAnsi="Arial" w:cs="Arial"/>
        </w:rPr>
      </w:pPr>
      <w:r w:rsidRPr="000217DB">
        <w:rPr>
          <w:rFonts w:ascii="Arial" w:hAnsi="Arial" w:cs="Arial"/>
        </w:rPr>
        <w:t xml:space="preserve">Le </w:t>
      </w:r>
      <w:r w:rsidR="00B912E1" w:rsidRPr="000217DB">
        <w:rPr>
          <w:rFonts w:ascii="Arial" w:hAnsi="Arial" w:cs="Arial"/>
        </w:rPr>
        <w:t>référent</w:t>
      </w:r>
      <w:r w:rsidR="00B912E1">
        <w:rPr>
          <w:rFonts w:ascii="Arial" w:hAnsi="Arial" w:cs="Arial"/>
          <w:b/>
        </w:rPr>
        <w:t>,</w:t>
      </w:r>
      <w:r w:rsidR="000A1DD4">
        <w:rPr>
          <w:rFonts w:ascii="Arial" w:hAnsi="Arial" w:cs="Arial"/>
          <w:b/>
        </w:rPr>
        <w:t xml:space="preserve"> </w:t>
      </w:r>
      <w:r w:rsidR="000A1DD4" w:rsidRPr="000A1DD4">
        <w:rPr>
          <w:rFonts w:ascii="Arial" w:hAnsi="Arial" w:cs="Arial"/>
          <w:bCs/>
        </w:rPr>
        <w:t>ayant un statut de vacataire</w:t>
      </w:r>
      <w:r w:rsidR="000A1DD4">
        <w:rPr>
          <w:rFonts w:ascii="Arial" w:hAnsi="Arial" w:cs="Arial"/>
          <w:b/>
        </w:rPr>
        <w:t xml:space="preserve">, </w:t>
      </w:r>
      <w:r w:rsidRPr="00457B4D">
        <w:rPr>
          <w:rFonts w:ascii="Arial" w:hAnsi="Arial" w:cs="Arial"/>
        </w:rPr>
        <w:t xml:space="preserve">sera rémunéré </w:t>
      </w:r>
      <w:r w:rsidR="00AC5E28">
        <w:rPr>
          <w:rFonts w:ascii="Arial" w:hAnsi="Arial" w:cs="Arial"/>
        </w:rPr>
        <w:t>par la commune</w:t>
      </w:r>
      <w:r w:rsidR="000A1DD4">
        <w:rPr>
          <w:rFonts w:ascii="Arial" w:hAnsi="Arial" w:cs="Arial"/>
        </w:rPr>
        <w:t xml:space="preserve"> </w:t>
      </w:r>
      <w:r w:rsidR="00AC5E28">
        <w:rPr>
          <w:rFonts w:ascii="Arial" w:hAnsi="Arial" w:cs="Arial"/>
        </w:rPr>
        <w:t>conformément aux textes en vigueur.</w:t>
      </w:r>
      <w:r w:rsidR="000A1DD4">
        <w:rPr>
          <w:rFonts w:ascii="Arial" w:hAnsi="Arial" w:cs="Arial"/>
        </w:rPr>
        <w:t xml:space="preserve"> </w:t>
      </w:r>
    </w:p>
    <w:p w14:paraId="5C6EB81A" w14:textId="77777777" w:rsidR="00725466" w:rsidRDefault="00725466" w:rsidP="000217DB">
      <w:pPr>
        <w:jc w:val="both"/>
        <w:rPr>
          <w:rFonts w:ascii="Arial" w:hAnsi="Arial" w:cs="Arial"/>
        </w:rPr>
      </w:pPr>
    </w:p>
    <w:p w14:paraId="1E99969D" w14:textId="77777777" w:rsidR="00DC1B6B" w:rsidRDefault="00DC1B6B" w:rsidP="00DC1B6B"/>
    <w:p w14:paraId="0533BE5C" w14:textId="77777777" w:rsidR="00DC1B6B" w:rsidRDefault="00DC1B6B" w:rsidP="00DC1B6B">
      <w:r>
        <w:t xml:space="preserve"> Fait à</w:t>
      </w:r>
      <w:proofErr w:type="gramStart"/>
      <w:r>
        <w:t xml:space="preserve"> ….</w:t>
      </w:r>
      <w:proofErr w:type="gramEnd"/>
      <w:r>
        <w:t xml:space="preserve">.    </w:t>
      </w:r>
      <w:proofErr w:type="gramStart"/>
      <w:r>
        <w:t>le</w:t>
      </w:r>
      <w:proofErr w:type="gramEnd"/>
      <w:r>
        <w:t xml:space="preserve"> …….</w:t>
      </w:r>
    </w:p>
    <w:p w14:paraId="2D1A812D" w14:textId="77777777" w:rsidR="00DC1B6B" w:rsidRDefault="00DC1B6B" w:rsidP="00DC1B6B"/>
    <w:p w14:paraId="6CDA6633" w14:textId="77777777" w:rsidR="00C11AB7" w:rsidRDefault="00C11AB7"/>
    <w:sectPr w:rsidR="00C11AB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EA7F7" w14:textId="77777777" w:rsidR="007359B6" w:rsidRDefault="007359B6" w:rsidP="000217DB">
      <w:pPr>
        <w:spacing w:after="0" w:line="240" w:lineRule="auto"/>
      </w:pPr>
      <w:r>
        <w:separator/>
      </w:r>
    </w:p>
  </w:endnote>
  <w:endnote w:type="continuationSeparator" w:id="0">
    <w:p w14:paraId="6B9BE0B7" w14:textId="77777777" w:rsidR="007359B6" w:rsidRDefault="007359B6" w:rsidP="00021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37753"/>
      <w:docPartObj>
        <w:docPartGallery w:val="Page Numbers (Bottom of Page)"/>
        <w:docPartUnique/>
      </w:docPartObj>
    </w:sdtPr>
    <w:sdtEndPr/>
    <w:sdtContent>
      <w:p w14:paraId="54962DE4" w14:textId="77777777" w:rsidR="001B3BEE" w:rsidRDefault="001B3BEE">
        <w:pPr>
          <w:pStyle w:val="Pieddepage"/>
          <w:jc w:val="center"/>
        </w:pPr>
        <w:r>
          <w:fldChar w:fldCharType="begin"/>
        </w:r>
        <w:r>
          <w:instrText>PAGE   \* MERGEFORMAT</w:instrText>
        </w:r>
        <w:r>
          <w:fldChar w:fldCharType="separate"/>
        </w:r>
        <w:r w:rsidR="00725466">
          <w:rPr>
            <w:noProof/>
          </w:rPr>
          <w:t>3</w:t>
        </w:r>
        <w:r>
          <w:fldChar w:fldCharType="end"/>
        </w:r>
      </w:p>
    </w:sdtContent>
  </w:sdt>
  <w:p w14:paraId="206B64CA" w14:textId="77777777" w:rsidR="001B3BEE" w:rsidRDefault="001B3B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91A39" w14:textId="77777777" w:rsidR="007359B6" w:rsidRDefault="007359B6" w:rsidP="000217DB">
      <w:pPr>
        <w:spacing w:after="0" w:line="240" w:lineRule="auto"/>
      </w:pPr>
      <w:r>
        <w:separator/>
      </w:r>
    </w:p>
  </w:footnote>
  <w:footnote w:type="continuationSeparator" w:id="0">
    <w:p w14:paraId="3AB6BA4B" w14:textId="77777777" w:rsidR="007359B6" w:rsidRDefault="007359B6" w:rsidP="000217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B6B"/>
    <w:rsid w:val="000149D1"/>
    <w:rsid w:val="000217DB"/>
    <w:rsid w:val="00022AD4"/>
    <w:rsid w:val="000356B0"/>
    <w:rsid w:val="000A1DD4"/>
    <w:rsid w:val="001B3BEE"/>
    <w:rsid w:val="003C4D12"/>
    <w:rsid w:val="00480B82"/>
    <w:rsid w:val="004A2182"/>
    <w:rsid w:val="00627DB5"/>
    <w:rsid w:val="00725466"/>
    <w:rsid w:val="007359B6"/>
    <w:rsid w:val="00890D8C"/>
    <w:rsid w:val="00A97321"/>
    <w:rsid w:val="00AC5E28"/>
    <w:rsid w:val="00B912E1"/>
    <w:rsid w:val="00C11AB7"/>
    <w:rsid w:val="00C355D7"/>
    <w:rsid w:val="00C519AA"/>
    <w:rsid w:val="00CB2F2E"/>
    <w:rsid w:val="00CC11F8"/>
    <w:rsid w:val="00D277D2"/>
    <w:rsid w:val="00DC1B6B"/>
    <w:rsid w:val="00E24D37"/>
    <w:rsid w:val="00F53973"/>
    <w:rsid w:val="00FF39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B805B"/>
  <w15:chartTrackingRefBased/>
  <w15:docId w15:val="{C7F2A54B-EF2D-4DBE-A79A-BDC68A3D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7D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C1B6B"/>
    <w:rPr>
      <w:color w:val="0000FF"/>
      <w:u w:val="single"/>
    </w:rPr>
  </w:style>
  <w:style w:type="paragraph" w:styleId="Notedebasdepage">
    <w:name w:val="footnote text"/>
    <w:basedOn w:val="Normal"/>
    <w:link w:val="NotedebasdepageCar"/>
    <w:uiPriority w:val="99"/>
    <w:semiHidden/>
    <w:unhideWhenUsed/>
    <w:rsid w:val="000217DB"/>
    <w:pPr>
      <w:spacing w:after="0" w:line="240" w:lineRule="auto"/>
    </w:pPr>
    <w:rPr>
      <w:rFonts w:ascii="Calibri" w:hAnsi="Calibri" w:cs="Calibri"/>
      <w:sz w:val="20"/>
      <w:szCs w:val="20"/>
    </w:rPr>
  </w:style>
  <w:style w:type="character" w:customStyle="1" w:styleId="NotedebasdepageCar">
    <w:name w:val="Note de bas de page Car"/>
    <w:basedOn w:val="Policepardfaut"/>
    <w:link w:val="Notedebasdepage"/>
    <w:uiPriority w:val="99"/>
    <w:semiHidden/>
    <w:rsid w:val="000217DB"/>
    <w:rPr>
      <w:rFonts w:ascii="Calibri" w:hAnsi="Calibri" w:cs="Calibri"/>
      <w:sz w:val="20"/>
      <w:szCs w:val="20"/>
    </w:rPr>
  </w:style>
  <w:style w:type="character" w:styleId="Appelnotedebasdep">
    <w:name w:val="footnote reference"/>
    <w:basedOn w:val="Policepardfaut"/>
    <w:uiPriority w:val="99"/>
    <w:semiHidden/>
    <w:unhideWhenUsed/>
    <w:rsid w:val="000217DB"/>
    <w:rPr>
      <w:vertAlign w:val="superscript"/>
    </w:rPr>
  </w:style>
  <w:style w:type="paragraph" w:styleId="En-tte">
    <w:name w:val="header"/>
    <w:basedOn w:val="Normal"/>
    <w:link w:val="En-tteCar"/>
    <w:uiPriority w:val="99"/>
    <w:unhideWhenUsed/>
    <w:rsid w:val="001B3BEE"/>
    <w:pPr>
      <w:tabs>
        <w:tab w:val="center" w:pos="4536"/>
        <w:tab w:val="right" w:pos="9072"/>
      </w:tabs>
      <w:spacing w:after="0" w:line="240" w:lineRule="auto"/>
    </w:pPr>
  </w:style>
  <w:style w:type="character" w:customStyle="1" w:styleId="En-tteCar">
    <w:name w:val="En-tête Car"/>
    <w:basedOn w:val="Policepardfaut"/>
    <w:link w:val="En-tte"/>
    <w:uiPriority w:val="99"/>
    <w:rsid w:val="001B3BEE"/>
  </w:style>
  <w:style w:type="paragraph" w:styleId="Pieddepage">
    <w:name w:val="footer"/>
    <w:basedOn w:val="Normal"/>
    <w:link w:val="PieddepageCar"/>
    <w:uiPriority w:val="99"/>
    <w:unhideWhenUsed/>
    <w:rsid w:val="001B3B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B3BEE"/>
  </w:style>
  <w:style w:type="paragraph" w:styleId="Textedebulles">
    <w:name w:val="Balloon Text"/>
    <w:basedOn w:val="Normal"/>
    <w:link w:val="TextedebullesCar"/>
    <w:uiPriority w:val="99"/>
    <w:semiHidden/>
    <w:unhideWhenUsed/>
    <w:rsid w:val="001B3BE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B3B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31413">
      <w:bodyDiv w:val="1"/>
      <w:marLeft w:val="0"/>
      <w:marRight w:val="0"/>
      <w:marTop w:val="0"/>
      <w:marBottom w:val="0"/>
      <w:divBdr>
        <w:top w:val="none" w:sz="0" w:space="0" w:color="auto"/>
        <w:left w:val="none" w:sz="0" w:space="0" w:color="auto"/>
        <w:bottom w:val="none" w:sz="0" w:space="0" w:color="auto"/>
        <w:right w:val="none" w:sz="0" w:space="0" w:color="auto"/>
      </w:divBdr>
    </w:div>
    <w:div w:id="256906380">
      <w:bodyDiv w:val="1"/>
      <w:marLeft w:val="0"/>
      <w:marRight w:val="0"/>
      <w:marTop w:val="0"/>
      <w:marBottom w:val="0"/>
      <w:divBdr>
        <w:top w:val="none" w:sz="0" w:space="0" w:color="auto"/>
        <w:left w:val="none" w:sz="0" w:space="0" w:color="auto"/>
        <w:bottom w:val="none" w:sz="0" w:space="0" w:color="auto"/>
        <w:right w:val="none" w:sz="0" w:space="0" w:color="auto"/>
      </w:divBdr>
    </w:div>
    <w:div w:id="1421676871">
      <w:bodyDiv w:val="1"/>
      <w:marLeft w:val="0"/>
      <w:marRight w:val="0"/>
      <w:marTop w:val="0"/>
      <w:marBottom w:val="0"/>
      <w:divBdr>
        <w:top w:val="none" w:sz="0" w:space="0" w:color="auto"/>
        <w:left w:val="none" w:sz="0" w:space="0" w:color="auto"/>
        <w:bottom w:val="none" w:sz="0" w:space="0" w:color="auto"/>
        <w:right w:val="none" w:sz="0" w:space="0" w:color="auto"/>
      </w:divBdr>
    </w:div>
    <w:div w:id="208518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codes/article_lc/LEGIARTI000046691848/2023-06-01/" TargetMode="External"/><Relationship Id="rId3" Type="http://schemas.openxmlformats.org/officeDocument/2006/relationships/webSettings" Target="webSettings.xml"/><Relationship Id="rId7" Type="http://schemas.openxmlformats.org/officeDocument/2006/relationships/hyperlink" Target="https://smex-ctp.trendmicro.com/wis/clicktime/v1/query?url=https%3a%2f%2fwww.legifrance.gouv.fr%2fcodes%2farticle%5flc%2fLEGIARTI000045214150&amp;umid=19f5ea38-c6d3-49e2-9f46-86af23e14fa2&amp;auth=acbb7ba03533ce94aefd4a8c96f43b3340ef77a5-bfabe9c3054904eaea490b884d7ac0808b76620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legifrance.gouv.fr/codes/article_lc/LEGIARTI000046691848/2023-06-0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799</Words>
  <Characters>4397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PILLEVESSE Annick</dc:creator>
  <cp:keywords/>
  <dc:description/>
  <cp:lastModifiedBy>Juridique [UME 91]</cp:lastModifiedBy>
  <cp:revision>11</cp:revision>
  <cp:lastPrinted>2023-05-30T09:57:00Z</cp:lastPrinted>
  <dcterms:created xsi:type="dcterms:W3CDTF">2026-03-25T06:52:00Z</dcterms:created>
  <dcterms:modified xsi:type="dcterms:W3CDTF">2026-04-09T09:12:00Z</dcterms:modified>
</cp:coreProperties>
</file>